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2534" w14:textId="77777777" w:rsidR="00B15356" w:rsidRDefault="005A31DA">
      <w:r>
        <w:rPr>
          <w:sz w:val="28"/>
        </w:rPr>
        <w:t>iMedrix Diagnostics Corporation Cookies Policy</w:t>
      </w:r>
    </w:p>
    <w:p w14:paraId="44F204DF" w14:textId="77777777" w:rsidR="00B15356" w:rsidRDefault="005A31DA">
      <w:pPr>
        <w:spacing w:after="120"/>
      </w:pPr>
      <w:r>
        <w:t>Effective date: January 27, 2026.</w:t>
      </w:r>
    </w:p>
    <w:p w14:paraId="13B1B5B5" w14:textId="77777777" w:rsidR="00B15356" w:rsidRDefault="005A31DA">
      <w:pPr>
        <w:spacing w:after="120"/>
      </w:pPr>
      <w:r>
        <w:t>This Cookies Policy explains how iMedrix Diagnostics Corporation, a Delaware corporation (iMedrix, we, us, our), uses cookies and similar technologies on our websites, mobile applications, and related online services (collectively, the Sites).</w:t>
      </w:r>
    </w:p>
    <w:p w14:paraId="23949A4D" w14:textId="77777777" w:rsidR="00B15356" w:rsidRDefault="005A31DA">
      <w:pPr>
        <w:spacing w:after="120"/>
      </w:pPr>
      <w:r>
        <w:t>This policy is intended to be read together with our Privacy Policy. If there is a conflict, the Privacy Policy controls for matters of personal information handling.</w:t>
      </w:r>
    </w:p>
    <w:p w14:paraId="16F042A2" w14:textId="77777777" w:rsidR="00B15356" w:rsidRDefault="005A31DA">
      <w:pPr>
        <w:spacing w:before="200" w:after="120"/>
      </w:pPr>
      <w:r>
        <w:rPr>
          <w:sz w:val="24"/>
        </w:rPr>
        <w:t>1. What are cookies and similar technologies</w:t>
      </w:r>
    </w:p>
    <w:p w14:paraId="1A38FF58" w14:textId="77777777" w:rsidR="00B15356" w:rsidRDefault="005A31DA">
      <w:pPr>
        <w:spacing w:after="120"/>
      </w:pPr>
      <w:r>
        <w:t>Cookies are small text files stored on your device when you visit a website. We may also use pixels, SDKs, local storage, and similar technologies for similar purposes (together, cookies).</w:t>
      </w:r>
    </w:p>
    <w:p w14:paraId="17A8992E" w14:textId="77777777" w:rsidR="00B15356" w:rsidRDefault="005A31DA">
      <w:pPr>
        <w:spacing w:before="200" w:after="120"/>
      </w:pPr>
      <w:r>
        <w:rPr>
          <w:sz w:val="24"/>
        </w:rPr>
        <w:t>2. How we use cookies</w:t>
      </w:r>
    </w:p>
    <w:p w14:paraId="3A0934C1" w14:textId="77777777" w:rsidR="00B15356" w:rsidRDefault="005A31DA">
      <w:pPr>
        <w:spacing w:after="120"/>
      </w:pPr>
      <w:r>
        <w:t>We use cookies for the following purposes:</w:t>
      </w:r>
    </w:p>
    <w:tbl>
      <w:tblPr>
        <w:tblW w:w="0" w:type="auto"/>
        <w:tblLook w:val="04A0" w:firstRow="1" w:lastRow="0" w:firstColumn="1" w:lastColumn="0" w:noHBand="0" w:noVBand="1"/>
      </w:tblPr>
      <w:tblGrid>
        <w:gridCol w:w="1904"/>
        <w:gridCol w:w="3048"/>
        <w:gridCol w:w="3688"/>
      </w:tblGrid>
      <w:tr w:rsidR="00B15356" w14:paraId="0E757B28" w14:textId="77777777">
        <w:tc>
          <w:tcPr>
            <w:tcW w:w="2016" w:type="dxa"/>
          </w:tcPr>
          <w:p w14:paraId="0E39AF0D" w14:textId="77777777" w:rsidR="00B15356" w:rsidRDefault="005A31DA">
            <w:r>
              <w:t>Category</w:t>
            </w:r>
          </w:p>
        </w:tc>
        <w:tc>
          <w:tcPr>
            <w:tcW w:w="3312" w:type="dxa"/>
          </w:tcPr>
          <w:p w14:paraId="55FD3E84" w14:textId="77777777" w:rsidR="00B15356" w:rsidRDefault="005A31DA">
            <w:r>
              <w:t>Purpose</w:t>
            </w:r>
          </w:p>
        </w:tc>
        <w:tc>
          <w:tcPr>
            <w:tcW w:w="4032" w:type="dxa"/>
          </w:tcPr>
          <w:p w14:paraId="6F544204" w14:textId="77777777" w:rsidR="00B15356" w:rsidRDefault="005A31DA">
            <w:r>
              <w:t>Examples (non-exhaustive)</w:t>
            </w:r>
          </w:p>
        </w:tc>
      </w:tr>
      <w:tr w:rsidR="00B15356" w14:paraId="4E475931" w14:textId="77777777">
        <w:tc>
          <w:tcPr>
            <w:tcW w:w="2016" w:type="dxa"/>
          </w:tcPr>
          <w:p w14:paraId="4C026FFE" w14:textId="77777777" w:rsidR="00B15356" w:rsidRDefault="005A31DA">
            <w:r>
              <w:t>Strictly necessary</w:t>
            </w:r>
          </w:p>
        </w:tc>
        <w:tc>
          <w:tcPr>
            <w:tcW w:w="3312" w:type="dxa"/>
          </w:tcPr>
          <w:p w14:paraId="148F4189" w14:textId="77777777" w:rsidR="00B15356" w:rsidRDefault="005A31DA">
            <w:r>
              <w:t>Enable core functionality, security, and authentication.</w:t>
            </w:r>
          </w:p>
        </w:tc>
        <w:tc>
          <w:tcPr>
            <w:tcW w:w="4032" w:type="dxa"/>
          </w:tcPr>
          <w:p w14:paraId="56D1EB93" w14:textId="77777777" w:rsidR="00B15356" w:rsidRDefault="005A31DA">
            <w:r>
              <w:t>Session management, login cookies, security tokens.</w:t>
            </w:r>
          </w:p>
        </w:tc>
      </w:tr>
      <w:tr w:rsidR="00B15356" w14:paraId="4950D944" w14:textId="77777777">
        <w:tc>
          <w:tcPr>
            <w:tcW w:w="2016" w:type="dxa"/>
          </w:tcPr>
          <w:p w14:paraId="22359122" w14:textId="77777777" w:rsidR="00B15356" w:rsidRDefault="005A31DA">
            <w:r>
              <w:t>Preferences</w:t>
            </w:r>
          </w:p>
        </w:tc>
        <w:tc>
          <w:tcPr>
            <w:tcW w:w="3312" w:type="dxa"/>
          </w:tcPr>
          <w:p w14:paraId="7C0D8124" w14:textId="77777777" w:rsidR="00B15356" w:rsidRDefault="005A31DA">
            <w:r>
              <w:t>Remember settings and choices.</w:t>
            </w:r>
          </w:p>
        </w:tc>
        <w:tc>
          <w:tcPr>
            <w:tcW w:w="4032" w:type="dxa"/>
          </w:tcPr>
          <w:p w14:paraId="2D204055" w14:textId="77777777" w:rsidR="00B15356" w:rsidRDefault="005A31DA">
            <w:r>
              <w:t>Language/region, saved preferences.</w:t>
            </w:r>
          </w:p>
        </w:tc>
      </w:tr>
      <w:tr w:rsidR="00B15356" w14:paraId="56143D76" w14:textId="77777777">
        <w:tc>
          <w:tcPr>
            <w:tcW w:w="2016" w:type="dxa"/>
          </w:tcPr>
          <w:p w14:paraId="3DABDE1E" w14:textId="77777777" w:rsidR="00B15356" w:rsidRDefault="005A31DA">
            <w:r>
              <w:t>Analytics</w:t>
            </w:r>
          </w:p>
        </w:tc>
        <w:tc>
          <w:tcPr>
            <w:tcW w:w="3312" w:type="dxa"/>
          </w:tcPr>
          <w:p w14:paraId="05750BA1" w14:textId="77777777" w:rsidR="00B15356" w:rsidRDefault="005A31DA">
            <w:r>
              <w:t>Understand how the Sites are used, improve performance, and diagnose issues.</w:t>
            </w:r>
          </w:p>
        </w:tc>
        <w:tc>
          <w:tcPr>
            <w:tcW w:w="4032" w:type="dxa"/>
          </w:tcPr>
          <w:p w14:paraId="764BD416" w14:textId="77777777" w:rsidR="00B15356" w:rsidRDefault="005A31DA">
            <w:r>
              <w:t>Page views, feature usage, error telemetry.</w:t>
            </w:r>
          </w:p>
        </w:tc>
      </w:tr>
      <w:tr w:rsidR="00B15356" w14:paraId="6CA7E378" w14:textId="77777777">
        <w:tc>
          <w:tcPr>
            <w:tcW w:w="2016" w:type="dxa"/>
          </w:tcPr>
          <w:p w14:paraId="6186C03E" w14:textId="77777777" w:rsidR="00B15356" w:rsidRDefault="005A31DA">
            <w:r>
              <w:t>Marketing (where permitted)</w:t>
            </w:r>
          </w:p>
        </w:tc>
        <w:tc>
          <w:tcPr>
            <w:tcW w:w="3312" w:type="dxa"/>
          </w:tcPr>
          <w:p w14:paraId="0989E557" w14:textId="77777777" w:rsidR="00B15356" w:rsidRDefault="005A31DA">
            <w:r>
              <w:t>Measure marketing effectiveness and show relevant content where enabled.</w:t>
            </w:r>
          </w:p>
        </w:tc>
        <w:tc>
          <w:tcPr>
            <w:tcW w:w="4032" w:type="dxa"/>
          </w:tcPr>
          <w:p w14:paraId="0A2FF3C8" w14:textId="77777777" w:rsidR="00B15356" w:rsidRDefault="005A31DA">
            <w:r>
              <w:t>Attribution tags, campaign measurement.</w:t>
            </w:r>
          </w:p>
        </w:tc>
      </w:tr>
    </w:tbl>
    <w:p w14:paraId="7FCE6C0D" w14:textId="77777777" w:rsidR="00B15356" w:rsidRDefault="00B15356"/>
    <w:p w14:paraId="2D14197F" w14:textId="77777777" w:rsidR="00B15356" w:rsidRDefault="005A31DA">
      <w:pPr>
        <w:spacing w:before="200" w:after="120"/>
      </w:pPr>
      <w:r>
        <w:rPr>
          <w:sz w:val="24"/>
        </w:rPr>
        <w:t>3. Cookies and healthcare information</w:t>
      </w:r>
    </w:p>
    <w:p w14:paraId="7722F0D4" w14:textId="77777777" w:rsidR="00B15356" w:rsidRDefault="005A31DA">
      <w:pPr>
        <w:spacing w:after="120"/>
      </w:pPr>
      <w:r>
        <w:t>Our Sites may support access to a platform used by healthcare providers and health systems. We do not intend to use cookies on authenticated patient or provider areas to collect protected health information (PHI) for advertising purposes. PHI processed through our platform is handled in accordance with applicable law and applicable agreements with healthcare providers and health systems.</w:t>
      </w:r>
    </w:p>
    <w:p w14:paraId="127DF11A" w14:textId="77777777" w:rsidR="00B15356" w:rsidRDefault="005A31DA">
      <w:pPr>
        <w:spacing w:before="200" w:after="120"/>
      </w:pPr>
      <w:r>
        <w:rPr>
          <w:sz w:val="24"/>
        </w:rPr>
        <w:t>4. De-identified data</w:t>
      </w:r>
    </w:p>
    <w:p w14:paraId="04971E22" w14:textId="77777777" w:rsidR="00B15356" w:rsidRDefault="005A31DA">
      <w:pPr>
        <w:spacing w:after="120"/>
      </w:pPr>
      <w:r>
        <w:lastRenderedPageBreak/>
        <w:t>We may use de-identified or aggregated data (including site usage and performance statistics) to improve our systems, develop features, train models, and for research and commercial purposes. De-identified data is not intended to identify you or any individual.</w:t>
      </w:r>
    </w:p>
    <w:p w14:paraId="346BADDB" w14:textId="77777777" w:rsidR="00B15356" w:rsidRDefault="005A31DA">
      <w:pPr>
        <w:spacing w:before="200" w:after="120"/>
      </w:pPr>
      <w:r>
        <w:rPr>
          <w:sz w:val="24"/>
        </w:rPr>
        <w:t>5. Managing your choices</w:t>
      </w:r>
    </w:p>
    <w:p w14:paraId="21F98A8B" w14:textId="77777777" w:rsidR="00B15356" w:rsidRDefault="005A31DA">
      <w:pPr>
        <w:spacing w:after="120"/>
      </w:pPr>
      <w:r>
        <w:t>You can manage cookies in several ways:</w:t>
      </w:r>
    </w:p>
    <w:p w14:paraId="7D44C41E" w14:textId="77777777" w:rsidR="00B15356" w:rsidRDefault="005A31DA">
      <w:pPr>
        <w:pStyle w:val="ListBullet"/>
        <w:spacing w:after="40"/>
      </w:pPr>
      <w:r>
        <w:t>Browser controls: Most browsers let you delete or block cookies and manage site-specific settings. Blocking some cookies may affect functionality.</w:t>
      </w:r>
    </w:p>
    <w:p w14:paraId="5224B9FE" w14:textId="77777777" w:rsidR="00B15356" w:rsidRDefault="005A31DA">
      <w:pPr>
        <w:pStyle w:val="ListBullet"/>
        <w:spacing w:after="40"/>
      </w:pPr>
      <w:r>
        <w:t>Mobile controls: Your device may let you limit ad tracking or reset advertising identifiers.</w:t>
      </w:r>
    </w:p>
    <w:p w14:paraId="6600324B" w14:textId="77777777" w:rsidR="00B15356" w:rsidRDefault="005A31DA">
      <w:pPr>
        <w:pStyle w:val="ListBullet"/>
        <w:spacing w:after="40"/>
      </w:pPr>
      <w:r>
        <w:t>Cookie preference tools: If we provide a cookie banner or preference center, you can adjust non-essential cookie categories there.</w:t>
      </w:r>
    </w:p>
    <w:p w14:paraId="30964C1A" w14:textId="77777777" w:rsidR="00B15356" w:rsidRDefault="005A31DA">
      <w:pPr>
        <w:spacing w:before="200" w:after="120"/>
      </w:pPr>
      <w:r>
        <w:rPr>
          <w:sz w:val="24"/>
        </w:rPr>
        <w:t>6. Do Not Track</w:t>
      </w:r>
    </w:p>
    <w:p w14:paraId="10F247A8" w14:textId="77777777" w:rsidR="00B15356" w:rsidRDefault="005A31DA">
      <w:pPr>
        <w:spacing w:after="120"/>
      </w:pPr>
      <w:r>
        <w:t>Some browsers offer a “Do Not Track” signal. There is no consistent industry standard for responding, and we do not respond to Do Not Track signals in a uniform way.</w:t>
      </w:r>
    </w:p>
    <w:p w14:paraId="39B3B313" w14:textId="77777777" w:rsidR="00B15356" w:rsidRDefault="005A31DA">
      <w:pPr>
        <w:spacing w:before="200" w:after="120"/>
      </w:pPr>
      <w:r>
        <w:rPr>
          <w:sz w:val="24"/>
        </w:rPr>
        <w:t>7. Changes to this policy</w:t>
      </w:r>
    </w:p>
    <w:p w14:paraId="3DE9BED6" w14:textId="77777777" w:rsidR="00B15356" w:rsidRDefault="005A31DA">
      <w:pPr>
        <w:spacing w:after="120"/>
      </w:pPr>
      <w:r>
        <w:t>We may update this Cookies Policy from time to time. The effective date above indicates the latest revision.</w:t>
      </w:r>
    </w:p>
    <w:p w14:paraId="4B4AF6E7" w14:textId="77777777" w:rsidR="00B15356" w:rsidRDefault="005A31DA">
      <w:pPr>
        <w:spacing w:before="200" w:after="120"/>
      </w:pPr>
      <w:r>
        <w:rPr>
          <w:sz w:val="24"/>
        </w:rPr>
        <w:t>8. Contact</w:t>
      </w:r>
    </w:p>
    <w:p w14:paraId="15EEC99F" w14:textId="77777777" w:rsidR="00B15356" w:rsidRDefault="005A31DA">
      <w:pPr>
        <w:spacing w:after="120"/>
      </w:pPr>
      <w:r>
        <w:t>Questions about this policy: privacy@imxdiagnostics.com (or another address designated on our Sites).</w:t>
      </w:r>
    </w:p>
    <w:sectPr w:rsidR="00B1535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1376982">
    <w:abstractNumId w:val="8"/>
  </w:num>
  <w:num w:numId="2" w16cid:durableId="1293710378">
    <w:abstractNumId w:val="6"/>
  </w:num>
  <w:num w:numId="3" w16cid:durableId="2025202612">
    <w:abstractNumId w:val="5"/>
  </w:num>
  <w:num w:numId="4" w16cid:durableId="1586067529">
    <w:abstractNumId w:val="4"/>
  </w:num>
  <w:num w:numId="5" w16cid:durableId="37902785">
    <w:abstractNumId w:val="7"/>
  </w:num>
  <w:num w:numId="6" w16cid:durableId="378553053">
    <w:abstractNumId w:val="3"/>
  </w:num>
  <w:num w:numId="7" w16cid:durableId="1276862716">
    <w:abstractNumId w:val="2"/>
  </w:num>
  <w:num w:numId="8" w16cid:durableId="1854034542">
    <w:abstractNumId w:val="1"/>
  </w:num>
  <w:num w:numId="9" w16cid:durableId="1741294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322C"/>
    <w:rsid w:val="0029639D"/>
    <w:rsid w:val="00326F90"/>
    <w:rsid w:val="005A31DA"/>
    <w:rsid w:val="007F1B61"/>
    <w:rsid w:val="00AA1D8D"/>
    <w:rsid w:val="00AC1987"/>
    <w:rsid w:val="00B15356"/>
    <w:rsid w:val="00B41B10"/>
    <w:rsid w:val="00B47730"/>
    <w:rsid w:val="00CB0664"/>
    <w:rsid w:val="00F502B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9964E"/>
  <w14:defaultImageDpi w14:val="300"/>
  <w15:docId w15:val="{4638A107-248C-4A9A-9590-611B99B9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Wawrzyniak</dc:creator>
  <cp:keywords/>
  <dc:description/>
  <cp:lastModifiedBy>John Phillips</cp:lastModifiedBy>
  <cp:revision>2</cp:revision>
  <dcterms:created xsi:type="dcterms:W3CDTF">2026-01-30T20:52:00Z</dcterms:created>
  <dcterms:modified xsi:type="dcterms:W3CDTF">2026-01-30T20:52:00Z</dcterms:modified>
  <cp:category/>
  <dc:identifier/>
  <cp:contentStatus/>
  <dc:language/>
  <cp:version/>
</cp:coreProperties>
</file>