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F7B2" w14:textId="77777777" w:rsidR="008B0800" w:rsidRDefault="00984CF9">
      <w:r>
        <w:rPr>
          <w:sz w:val="28"/>
        </w:rPr>
        <w:t>iMedrix Diagnostics Corporation Accessibility Policy</w:t>
      </w:r>
    </w:p>
    <w:p w14:paraId="7078318A" w14:textId="77777777" w:rsidR="008B0800" w:rsidRDefault="00984CF9">
      <w:pPr>
        <w:spacing w:after="120"/>
      </w:pPr>
      <w:r>
        <w:t>Effective date: 2026-01-28</w:t>
      </w:r>
    </w:p>
    <w:p w14:paraId="4E117F15" w14:textId="77777777" w:rsidR="008B0800" w:rsidRDefault="00984CF9">
      <w:pPr>
        <w:spacing w:after="120"/>
      </w:pPr>
      <w:r>
        <w:t>This Accessibility Policy describes the approach of iMedrix Diagnostics Corporation, a Delaware corporation (iMedrix, we, us, our), to digital accessibility for our websites, mobile applications, and related online services (collectively, the Services).</w:t>
      </w:r>
    </w:p>
    <w:p w14:paraId="10451D87" w14:textId="77777777" w:rsidR="008B0800" w:rsidRDefault="00984CF9">
      <w:pPr>
        <w:spacing w:after="120"/>
      </w:pPr>
      <w:r>
        <w:t>This policy is intended to be posted with our other legal policies and to complement our Privacy Policy and Terms of Use.</w:t>
      </w:r>
    </w:p>
    <w:p w14:paraId="468A6FCD" w14:textId="77777777" w:rsidR="008B0800" w:rsidRDefault="00984CF9">
      <w:pPr>
        <w:spacing w:before="200" w:after="120"/>
      </w:pPr>
      <w:r>
        <w:rPr>
          <w:sz w:val="24"/>
        </w:rPr>
        <w:t>1. Our commitment</w:t>
      </w:r>
    </w:p>
    <w:p w14:paraId="47EFE84F" w14:textId="77777777" w:rsidR="008B0800" w:rsidRDefault="00984CF9">
      <w:pPr>
        <w:spacing w:after="120"/>
      </w:pPr>
      <w:r>
        <w:t>We are committed to providing an inclusive experience and improving accessibility for people with disabilities. Accessibility is an ongoing effort, and we work to identify, prioritize, and address barriers as our Services evolve.</w:t>
      </w:r>
    </w:p>
    <w:p w14:paraId="59AFFA8F" w14:textId="77777777" w:rsidR="008B0800" w:rsidRDefault="00984CF9">
      <w:pPr>
        <w:spacing w:before="200" w:after="120"/>
      </w:pPr>
      <w:r>
        <w:rPr>
          <w:sz w:val="24"/>
        </w:rPr>
        <w:t>2. Accessibility standards and goals</w:t>
      </w:r>
    </w:p>
    <w:p w14:paraId="4F2C3450" w14:textId="77777777" w:rsidR="008B0800" w:rsidRDefault="00984CF9">
      <w:pPr>
        <w:spacing w:after="120"/>
      </w:pPr>
      <w:r>
        <w:t>Where feasible, we aim to align our public-facing digital experiences with generally recognized accessibility standards, including the Web Content Accessibility Guidelines (WCAG) 2.1 Level AA. The Services may include content or workflows used in clinical settings and authenticated areas; we strive to improve accessibility across those experiences as well.</w:t>
      </w:r>
    </w:p>
    <w:p w14:paraId="6DDFBE45" w14:textId="77777777" w:rsidR="008B0800" w:rsidRDefault="00984CF9">
      <w:pPr>
        <w:spacing w:before="200" w:after="120"/>
      </w:pPr>
      <w:r>
        <w:rPr>
          <w:sz w:val="24"/>
        </w:rPr>
        <w:t>3. What we do to support accessibility</w:t>
      </w:r>
    </w:p>
    <w:p w14:paraId="3B935BC5" w14:textId="77777777" w:rsidR="008B0800" w:rsidRDefault="00984CF9">
      <w:pPr>
        <w:spacing w:after="120"/>
      </w:pPr>
      <w:r>
        <w:t>Examples of measures we may use include:</w:t>
      </w:r>
    </w:p>
    <w:p w14:paraId="1F347467" w14:textId="77777777" w:rsidR="008B0800" w:rsidRDefault="00984CF9">
      <w:pPr>
        <w:pStyle w:val="ListBullet"/>
        <w:spacing w:after="40"/>
      </w:pPr>
      <w:r>
        <w:t>Design and development practices intended to support keyboard navigation, logical focus order, and clear interactive controls.</w:t>
      </w:r>
    </w:p>
    <w:p w14:paraId="3A62531C" w14:textId="77777777" w:rsidR="008B0800" w:rsidRDefault="00984CF9">
      <w:pPr>
        <w:pStyle w:val="ListBullet"/>
        <w:spacing w:after="40"/>
      </w:pPr>
      <w:r>
        <w:t>Use of semantic structure and labels intended to support screen readers and other assistive technologies.</w:t>
      </w:r>
    </w:p>
    <w:p w14:paraId="691B1BC8" w14:textId="77777777" w:rsidR="008B0800" w:rsidRDefault="00984CF9">
      <w:pPr>
        <w:pStyle w:val="ListBullet"/>
        <w:spacing w:after="40"/>
      </w:pPr>
      <w:r>
        <w:t>Color and contrast considerations intended to support readability and usability.</w:t>
      </w:r>
    </w:p>
    <w:p w14:paraId="5005B3DA" w14:textId="77777777" w:rsidR="008B0800" w:rsidRDefault="00984CF9">
      <w:pPr>
        <w:pStyle w:val="ListBullet"/>
        <w:spacing w:after="40"/>
      </w:pPr>
      <w:r>
        <w:t>Testing and review using a combination of automated tools and manual checks, including assistive technologies where appropriate.</w:t>
      </w:r>
    </w:p>
    <w:p w14:paraId="05D19721" w14:textId="77777777" w:rsidR="008B0800" w:rsidRDefault="00984CF9">
      <w:pPr>
        <w:pStyle w:val="ListBullet"/>
        <w:spacing w:after="40"/>
      </w:pPr>
      <w:r>
        <w:t>Internal processes to track, prioritize, and remediate accessibility issues.</w:t>
      </w:r>
    </w:p>
    <w:p w14:paraId="549F73CD" w14:textId="77777777" w:rsidR="008B0800" w:rsidRDefault="00984CF9">
      <w:pPr>
        <w:spacing w:before="200" w:after="120"/>
      </w:pPr>
      <w:r>
        <w:rPr>
          <w:sz w:val="24"/>
        </w:rPr>
        <w:t>4. Third-party content and integrations</w:t>
      </w:r>
    </w:p>
    <w:p w14:paraId="042A5CC3" w14:textId="77777777" w:rsidR="008B0800" w:rsidRDefault="00984CF9">
      <w:pPr>
        <w:spacing w:after="120"/>
      </w:pPr>
      <w:r>
        <w:t>Some parts of the Services may include third-party software, content, or integrations (for example, hosting providers, analytics tools, or platform dependencies). We cannot control third-party accessibility, but we seek to work with vendors that support accessibility and to provide alternatives where feasible.</w:t>
      </w:r>
    </w:p>
    <w:p w14:paraId="68355DC9" w14:textId="77777777" w:rsidR="008B0800" w:rsidRDefault="00984CF9">
      <w:pPr>
        <w:spacing w:before="200" w:after="120"/>
      </w:pPr>
      <w:r>
        <w:rPr>
          <w:sz w:val="24"/>
        </w:rPr>
        <w:t>5. Assistive technology and supported environments</w:t>
      </w:r>
    </w:p>
    <w:p w14:paraId="625BC3A8" w14:textId="77777777" w:rsidR="008B0800" w:rsidRDefault="00984CF9">
      <w:pPr>
        <w:spacing w:after="120"/>
      </w:pPr>
      <w:r>
        <w:t xml:space="preserve">We design for modern browsers and current versions of major mobile operating systems. Because accessibility behavior can vary by device, browser, and assistive technology, you may </w:t>
      </w:r>
      <w:r>
        <w:lastRenderedPageBreak/>
        <w:t>have the best experience using the latest versions of your browser, operating system, and assistive technology.</w:t>
      </w:r>
    </w:p>
    <w:p w14:paraId="756DE37D" w14:textId="77777777" w:rsidR="008B0800" w:rsidRDefault="00984CF9">
      <w:pPr>
        <w:spacing w:before="200" w:after="120"/>
      </w:pPr>
      <w:r>
        <w:rPr>
          <w:sz w:val="24"/>
        </w:rPr>
        <w:t>6. Feedback and assistance</w:t>
      </w:r>
    </w:p>
    <w:p w14:paraId="13BD1BFD" w14:textId="77777777" w:rsidR="008B0800" w:rsidRDefault="00984CF9">
      <w:pPr>
        <w:spacing w:after="120"/>
      </w:pPr>
      <w:r>
        <w:t>If you have difficulty accessing any part of the Services or would like to request assistance, please contact us. When possible, include: (a) the page or feature involved, (b) your device and browser (or mobile OS), (c) the assistive technology you are using (if any), and (d) a brief description of the issue. We will make reasonable efforts to respond and to provide information in an accessible format.</w:t>
      </w:r>
    </w:p>
    <w:p w14:paraId="58E769D6" w14:textId="77777777" w:rsidR="008B0800" w:rsidRDefault="00984CF9">
      <w:pPr>
        <w:spacing w:after="120"/>
      </w:pPr>
      <w:r>
        <w:t>Contact for accessibility support: accessibility@imxdiagnostics.com (or another address designated on our Services).</w:t>
      </w:r>
    </w:p>
    <w:p w14:paraId="40D42809" w14:textId="77777777" w:rsidR="008B0800" w:rsidRDefault="00984CF9">
      <w:pPr>
        <w:spacing w:before="200" w:after="120"/>
      </w:pPr>
      <w:r>
        <w:rPr>
          <w:sz w:val="24"/>
        </w:rPr>
        <w:t>7. Alternative formats</w:t>
      </w:r>
    </w:p>
    <w:p w14:paraId="2610AD53" w14:textId="77777777" w:rsidR="008B0800" w:rsidRDefault="00984CF9">
      <w:pPr>
        <w:spacing w:after="120"/>
      </w:pPr>
      <w:r>
        <w:t>Where appropriate and feasible, we may provide information in alternative formats or offer reasonable workarounds (for example, providing support by phone or email) while we address accessibility issues.</w:t>
      </w:r>
    </w:p>
    <w:p w14:paraId="68D60AA3" w14:textId="77777777" w:rsidR="008B0800" w:rsidRDefault="00984CF9">
      <w:pPr>
        <w:spacing w:before="200" w:after="120"/>
      </w:pPr>
      <w:r>
        <w:rPr>
          <w:sz w:val="24"/>
        </w:rPr>
        <w:t>8. Changes to this policy</w:t>
      </w:r>
    </w:p>
    <w:p w14:paraId="766305F9" w14:textId="77777777" w:rsidR="008B0800" w:rsidRDefault="00984CF9">
      <w:pPr>
        <w:spacing w:after="120"/>
      </w:pPr>
      <w:r>
        <w:t>We may update this Accessibility Policy from time to time. The effective date above indicates when this policy was last revised. The current version will be posted on our website in the legal/policies section.</w:t>
      </w:r>
    </w:p>
    <w:sectPr w:rsidR="008B08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323124">
    <w:abstractNumId w:val="8"/>
  </w:num>
  <w:num w:numId="2" w16cid:durableId="488710216">
    <w:abstractNumId w:val="6"/>
  </w:num>
  <w:num w:numId="3" w16cid:durableId="1189683088">
    <w:abstractNumId w:val="5"/>
  </w:num>
  <w:num w:numId="4" w16cid:durableId="670530375">
    <w:abstractNumId w:val="4"/>
  </w:num>
  <w:num w:numId="5" w16cid:durableId="1827866703">
    <w:abstractNumId w:val="7"/>
  </w:num>
  <w:num w:numId="6" w16cid:durableId="1341084210">
    <w:abstractNumId w:val="3"/>
  </w:num>
  <w:num w:numId="7" w16cid:durableId="597325577">
    <w:abstractNumId w:val="2"/>
  </w:num>
  <w:num w:numId="8" w16cid:durableId="480003444">
    <w:abstractNumId w:val="1"/>
  </w:num>
  <w:num w:numId="9" w16cid:durableId="208189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2872"/>
    <w:rsid w:val="00573ECC"/>
    <w:rsid w:val="008B0800"/>
    <w:rsid w:val="00984CF9"/>
    <w:rsid w:val="00AA1D8D"/>
    <w:rsid w:val="00B47730"/>
    <w:rsid w:val="00CB0664"/>
    <w:rsid w:val="00D71E04"/>
    <w:rsid w:val="00E859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DF190"/>
  <w14:defaultImageDpi w14:val="300"/>
  <w15:docId w15:val="{7864039F-9C50-4B95-A05A-61B71F87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Wawrzyniak</dc:creator>
  <cp:keywords/>
  <dc:description/>
  <cp:lastModifiedBy>John Phillips</cp:lastModifiedBy>
  <cp:revision>2</cp:revision>
  <dcterms:created xsi:type="dcterms:W3CDTF">2026-01-30T20:56:00Z</dcterms:created>
  <dcterms:modified xsi:type="dcterms:W3CDTF">2026-01-30T20:56:00Z</dcterms:modified>
  <cp:category/>
  <dc:identifier/>
  <cp:contentStatus/>
  <dc:language/>
  <cp:version/>
</cp:coreProperties>
</file>